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10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записка…………………………………………………3</w:t>
      </w:r>
    </w:p>
    <w:p>
      <w:pPr>
        <w:pStyle w:val="10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результаты………………………………………………4</w:t>
      </w:r>
    </w:p>
    <w:p>
      <w:pPr>
        <w:pStyle w:val="10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учебного курса……………………………………………7</w:t>
      </w:r>
    </w:p>
    <w:p>
      <w:pPr>
        <w:pStyle w:val="10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Календарно-тематическое планирование……………………………..9</w:t>
      </w:r>
    </w:p>
    <w:p>
      <w:pPr>
        <w:pStyle w:val="10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Приложения……………………………………………………………..14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pStyle w:val="10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7"/>
        <w:ind w:firstLine="720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Рабочая программа курса «Финансовая грамотность» составлена для обучающихся с умственной отсталостью (интеллектуальными нарушениями) 10-12 классов составлена в соответствии:</w:t>
      </w:r>
    </w:p>
    <w:p>
      <w:pPr>
        <w:pStyle w:val="7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1. АООП Воскресенская КШИ (Вариант 1), утверждённой приказом ГБОУ Воскресенская КШИ от 01.09.2023 № 187-од</w:t>
      </w:r>
    </w:p>
    <w:p>
      <w:pPr>
        <w:pStyle w:val="7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2. ФГОС образования обучающихся с умственной отсталостью, утверждённым приказом Министерства образования и науки РФ №1599   19.12.2014</w:t>
      </w:r>
    </w:p>
    <w:p>
      <w:pPr>
        <w:pStyle w:val="7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3. С учебным планом ГБОУ Воскресенская КШИ на 2023-2024 учебный год,</w:t>
      </w:r>
    </w:p>
    <w:p>
      <w:pPr>
        <w:pStyle w:val="7"/>
        <w:spacing w:after="283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Рабочая программа является коррекционной для обучения обучающихся с легкой умственной отсталостью, составлена с учетом особенностей их психофизического развития, индивидуальных возможностей, тем самым обеспечивает коррекцию нарушения развития и социальную адаптацию.</w:t>
      </w:r>
    </w:p>
    <w:p>
      <w:pPr>
        <w:pStyle w:val="7"/>
        <w:spacing w:after="283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ЦЕЛЬ ПРОГРАММЫ: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специальных компетенций в области управления личными финансами у учащихся</w:t>
      </w:r>
      <w:r>
        <w:rPr>
          <w:rFonts w:ascii="Times New Roman" w:hAnsi="Times New Roman" w:cs="Times New Roman"/>
          <w:sz w:val="28"/>
          <w:szCs w:val="28"/>
        </w:rPr>
        <w:t>, воспитание ответственности и нравственного поведения в области экономических отношений в семье, получение опыта применения полученных знаний и умений для решения элементарных вопросов в области экономики</w:t>
      </w:r>
    </w:p>
    <w:p>
      <w:pPr>
        <w:pStyle w:val="7"/>
        <w:spacing w:after="283"/>
        <w:jc w:val="left"/>
        <w:rPr>
          <w:b w:val="0"/>
          <w:color w:val="333333"/>
          <w:sz w:val="28"/>
          <w:szCs w:val="28"/>
          <w:shd w:val="clear" w:color="auto" w:fill="FFFFFF"/>
        </w:rPr>
      </w:pPr>
      <w:r>
        <w:rPr>
          <w:b w:val="0"/>
          <w:color w:val="333333"/>
          <w:sz w:val="28"/>
          <w:szCs w:val="28"/>
          <w:shd w:val="clear" w:color="auto" w:fill="FFFFFF"/>
        </w:rPr>
        <w:t>ЗАДАЧИ: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-повысить финансовую грамотность и уровень финансового самосознания школьников;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формировать мотивационную готовность учащихся к овладению знаниями в области финансовой грамотности;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знать основы проектирования, планирования, управления финансовыми ресурсами;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повысить уровень знаний школьников о финансовых продуктах и их грамотном использовании.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-формировать универсальные учебные действия;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-расширять кругозор;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обогащать словарный запас, развивать речь и дикцию школьников;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развить творческие способности; умение анализировать, вычленять существенное, связно, грамотно и доказательно излагать материал (в том числе и в письменном виде), самостоятельно применять, пополнять и систематизировать, обобщать полученные знания;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развивать мышление, способности наблюдать и делать выводы;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представленном материале формировать у учащихся практические умения по ведению проектов разных типов.</w:t>
      </w:r>
    </w:p>
    <w:p>
      <w:pPr>
        <w:pStyle w:val="7"/>
        <w:ind w:left="72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2. Планируемые результаты</w:t>
      </w:r>
    </w:p>
    <w:p>
      <w:pPr>
        <w:pStyle w:val="7"/>
        <w:ind w:left="720"/>
        <w:rPr>
          <w:bCs w:val="0"/>
          <w:sz w:val="28"/>
          <w:szCs w:val="28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Личностные результаты</w:t>
      </w:r>
      <w:r>
        <w:rPr>
          <w:rFonts w:ascii="Times New Roman" w:hAnsi="Times New Roman"/>
          <w:sz w:val="28"/>
          <w:szCs w:val="28"/>
        </w:rPr>
        <w:t xml:space="preserve"> освоения курса отражают: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готовность и способность к саморазвитию и личностному самоопределению; выявление и мотивация к раскрытию лидерских и предпринимательских качеств;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ответственное отношение к созданию семьи на основе осознанного принятия ценностей семейной жизни;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мотивация к труду, умение оценивать и аргументировать собственную точку зрения по финансовым проблемам, стремление строить свое будущее на основе целеполагания и планирования;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осознание ответственности за настоящее и будущее собственное финансовое благополучие, благополучие своей семьи и государства.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Метапредметные результаты</w:t>
      </w:r>
      <w:r>
        <w:rPr>
          <w:rFonts w:ascii="Times New Roman" w:hAnsi="Times New Roman"/>
          <w:sz w:val="28"/>
          <w:szCs w:val="28"/>
        </w:rPr>
        <w:t xml:space="preserve"> освоения курса отражают: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Познавательные</w:t>
      </w:r>
      <w:r>
        <w:rPr>
          <w:rFonts w:ascii="Times New Roman" w:hAnsi="Times New Roman"/>
          <w:sz w:val="28"/>
          <w:szCs w:val="28"/>
        </w:rPr>
        <w:t>: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умение создавать, применять и преобразовывать знаки и символы, модели и схемы для решения задач данного курса;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Регулятивные</w:t>
      </w:r>
      <w:r>
        <w:rPr>
          <w:rFonts w:ascii="Times New Roman" w:hAnsi="Times New Roman"/>
          <w:sz w:val="28"/>
          <w:szCs w:val="28"/>
        </w:rPr>
        <w:t>: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умение самостоятельно планировать пути достижения личных финансовых целей, в том числе альтернативные, осознанно выбирать наиболее эффективные способы решения финансовых задач;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формирование навыков принятия решений на основе сравнительного анализа финансовых альтернатив, планирования и прогнозирования будущих доходов и расходов личного бюджета, навыков самоанализа и самоменеджмента.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Коммуникативные</w:t>
      </w:r>
      <w:r>
        <w:rPr>
          <w:rFonts w:ascii="Times New Roman" w:hAnsi="Times New Roman"/>
          <w:sz w:val="28"/>
          <w:szCs w:val="28"/>
        </w:rPr>
        <w:t>: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осуществление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формирование и развитие компетентности в области использования информационно-коммуникационных технологий (ИКТ-компетенции), навыков работы со статистической, фактической и аналитической финансовой информацией;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умение координировать и выполнять работу в условиях реального, виртуального и комбинированного взаимодействия.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Предметные результаты: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умение анализировать состояние финансовых рынков, используя различные источники информации;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способность применять теоретические знания по финансовой грамотности для практической деятельности и повседневной жизни;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умение анализировать и извлекать информацию, касающуюся личных финансов из источников различного типа и источников, созданных в различных знаковых системах (текст, таблица, график, диаграмма, аудиовизуальный ряд и др.);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сопоставлять свои потребности и возможности, оптимально распределять свои материальные и трудовые ресурсы, составлять семейный бюджет и личный финансовый план;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использовать приобретенные знания для выполнения практических заданий, основанных на ситуациях, связанных с покупкой и продажей валюты;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применять полученные теоретические и практические знания для эффективного использования основных социально-экономических ролей наемного работника и налогоплательщика в конкретных ситуациях;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оценивать влияние инфляции на доходность финансовых активов;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применять полученные теоретические и практические знания для определения экономически рационального поведения;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оценивать и принимать ответственность за рациональные решения и их возможные последствия для себя, своего окружения и общества в целом; </w:t>
      </w:r>
    </w:p>
    <w:p>
      <w:pPr>
        <w:spacing w:after="0" w:line="360" w:lineRule="auto"/>
        <w:ind w:firstLine="709"/>
        <w:jc w:val="both"/>
        <w:rPr>
          <w:b w:val="0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разрабатывать и реализовывать проекты междисциплинарной направленности на основе полученных знаний по финансовой грамотности и ценностных ориентиров.</w:t>
      </w:r>
    </w:p>
    <w:p>
      <w:pPr>
        <w:pStyle w:val="7"/>
        <w:spacing w:after="283"/>
        <w:jc w:val="left"/>
        <w:rPr>
          <w:b w:val="0"/>
          <w:bCs w:val="0"/>
          <w:sz w:val="28"/>
          <w:szCs w:val="28"/>
        </w:rPr>
      </w:pPr>
    </w:p>
    <w:p>
      <w:pPr>
        <w:pStyle w:val="7"/>
        <w:spacing w:after="283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3. Содержание учебного курса</w:t>
      </w:r>
    </w:p>
    <w:p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10 класс </w:t>
      </w:r>
    </w:p>
    <w:p>
      <w:pPr>
        <w:pStyle w:val="7"/>
        <w:jc w:val="left"/>
        <w:rPr>
          <w:bCs w:val="0"/>
          <w:color w:val="auto"/>
          <w:sz w:val="28"/>
          <w:szCs w:val="28"/>
          <w:lang w:eastAsia="ru-RU"/>
        </w:rPr>
      </w:pPr>
      <w:r>
        <w:rPr>
          <w:bCs w:val="0"/>
          <w:color w:val="auto"/>
          <w:sz w:val="28"/>
          <w:szCs w:val="28"/>
          <w:lang w:eastAsia="ru-RU"/>
        </w:rPr>
        <w:t>Раздел 1. Экономическая активность личности и предпринимательство</w:t>
      </w:r>
    </w:p>
    <w:p>
      <w:pPr>
        <w:pStyle w:val="7"/>
        <w:jc w:val="left"/>
        <w:rPr>
          <w:bCs w:val="0"/>
          <w:color w:val="auto"/>
          <w:sz w:val="28"/>
          <w:szCs w:val="28"/>
          <w:lang w:eastAsia="ru-RU"/>
        </w:rPr>
      </w:pPr>
    </w:p>
    <w:p>
      <w:pPr>
        <w:pStyle w:val="7"/>
        <w:jc w:val="left"/>
        <w:rPr>
          <w:b w:val="0"/>
          <w:bCs w:val="0"/>
          <w:color w:val="auto"/>
          <w:sz w:val="28"/>
          <w:szCs w:val="28"/>
          <w:lang w:eastAsia="ru-RU"/>
        </w:rPr>
      </w:pPr>
      <w:r>
        <w:rPr>
          <w:b w:val="0"/>
          <w:bCs w:val="0"/>
          <w:color w:val="auto"/>
          <w:sz w:val="28"/>
          <w:szCs w:val="28"/>
          <w:lang w:eastAsia="ru-RU"/>
        </w:rPr>
        <w:t>Финансовые потребности личности. Управление личным временем и финансами. Разделение и специализация труда. Трудовые ресурсы. Рынок труда. Наёмный труд. Характеристики современного рынка труда. Виды предпринимательской деятельности. Налоги. Предпринимательские проекты и их цели. Формы предпринимательства. Эмоциональный интеллект. Задачи начинающего предпринимателя. Особенности предпринимательской деятельности. Ответственность предпринимателей перед обществом и государством. Самозанятость.</w:t>
      </w:r>
    </w:p>
    <w:p>
      <w:pPr>
        <w:pStyle w:val="7"/>
        <w:jc w:val="left"/>
        <w:rPr>
          <w:b w:val="0"/>
          <w:bCs w:val="0"/>
          <w:color w:val="auto"/>
          <w:sz w:val="28"/>
          <w:szCs w:val="28"/>
          <w:lang w:eastAsia="ru-RU"/>
        </w:rPr>
      </w:pPr>
      <w:r>
        <w:rPr>
          <w:b w:val="0"/>
          <w:bCs w:val="0"/>
          <w:color w:val="auto"/>
          <w:sz w:val="28"/>
          <w:szCs w:val="28"/>
          <w:lang w:eastAsia="ru-RU"/>
        </w:rPr>
        <w:t>Фондовый рынок. Биржа. Ценные бумаги. Акции. Облигации, государственные облигации. Паевые инвестиционные фонды. Сберегательные сертификаты.</w:t>
      </w:r>
    </w:p>
    <w:p>
      <w:pPr>
        <w:pStyle w:val="7"/>
        <w:jc w:val="left"/>
        <w:rPr>
          <w:bCs w:val="0"/>
          <w:sz w:val="28"/>
          <w:szCs w:val="28"/>
        </w:rPr>
      </w:pPr>
    </w:p>
    <w:p>
      <w:pPr>
        <w:pStyle w:val="7"/>
        <w:jc w:val="left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Раздел 2. Деньги в повседневной жизни</w:t>
      </w:r>
    </w:p>
    <w:p>
      <w:pPr>
        <w:pStyle w:val="7"/>
        <w:jc w:val="left"/>
        <w:rPr>
          <w:bCs w:val="0"/>
          <w:sz w:val="28"/>
          <w:szCs w:val="28"/>
        </w:rPr>
      </w:pPr>
    </w:p>
    <w:p>
      <w:pPr>
        <w:pStyle w:val="7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Роль денег в достижении жизненных целей. Расходы на жилище, технику. Жилищно-коммунальные услуги. Зелёные технологии. Зёленые технологии и семейный бюджет. Энергоэффективность. Сбор и утилизация мусора. Деньги и защита окружающей среды.</w:t>
      </w:r>
    </w:p>
    <w:p>
      <w:pPr>
        <w:pStyle w:val="7"/>
        <w:jc w:val="left"/>
        <w:rPr>
          <w:bCs w:val="0"/>
          <w:sz w:val="28"/>
          <w:szCs w:val="28"/>
        </w:rPr>
      </w:pPr>
    </w:p>
    <w:p>
      <w:pPr>
        <w:pStyle w:val="7"/>
        <w:jc w:val="left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Раздел 3. Защита прав потребителей финансовых услуг</w:t>
      </w:r>
    </w:p>
    <w:p>
      <w:pPr>
        <w:pStyle w:val="7"/>
        <w:jc w:val="left"/>
        <w:rPr>
          <w:bCs w:val="0"/>
          <w:sz w:val="28"/>
          <w:szCs w:val="28"/>
        </w:rPr>
      </w:pPr>
    </w:p>
    <w:p>
      <w:pPr>
        <w:pStyle w:val="7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Потребитель финансовых услуг. Финансовый рынок и его участники. Финансовая услуга. Финансовый инструмент. Конкуренция на рынке финансовых услуг. Финансовый договор. Хозяйствующие субъекты. Финансовые организации. Финансовые и налоговые консультанты. Финансовая реклама. Защита от финансовых манипуляций. Организации по защите прав потребителей финансовых услуг.</w:t>
      </w:r>
    </w:p>
    <w:p>
      <w:pPr>
        <w:shd w:val="clear" w:color="auto" w:fill="FFFFFF"/>
        <w:spacing w:after="5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>
      <w:pPr>
        <w:shd w:val="clear" w:color="auto" w:fill="FFFFFF"/>
        <w:spacing w:after="5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11 класс </w:t>
      </w:r>
    </w:p>
    <w:p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1. Банковские услуги</w:t>
      </w:r>
    </w:p>
    <w:p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Банк и его функции. Виды счетов. Рассчетно-кассовые операции. Валюта и операции с ней. Банковский вклад. Депозиты. Система страхования вкладов. Операции с драгоценными металлами. Кредит. Виды кредитов. Потребительский кредит. Автокредитование. Ипотека. Поручительство. Рефинансирование. Виды банковских карт. Овердрафт. Комиссии банков. Цифровой банкинг. Мобильные приложения банков.</w:t>
      </w:r>
    </w:p>
    <w:p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2. Услуги небанковских организаций</w:t>
      </w:r>
    </w:p>
    <w:p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Отличия займа от кредита. Микрозаём в микрофинансовых организациях, потребительских кооперативах, ломбардах. Кредитная история и рейтинг. Виды кооперативов. Коллекторы. Паевые инвестиционные фонды. Управляющие компании. Инвестиционные фонды. Личное банкротство. Защита от кредиторов.</w:t>
      </w:r>
    </w:p>
    <w:p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3. Страховые услуги</w:t>
      </w:r>
    </w:p>
    <w:p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Природа страхования. Участники рынка страхования. Виды страхования. Страхование имущества. Страхование ответственности. Автострахование. Страхование рисков. Страхование бизнеса. Страховой договор.</w:t>
      </w:r>
    </w:p>
    <w:p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7"/>
        <w:spacing w:after="283"/>
        <w:rPr>
          <w:b w:val="0"/>
          <w:bCs w:val="0"/>
          <w:sz w:val="28"/>
          <w:szCs w:val="28"/>
        </w:rPr>
      </w:pPr>
      <w:r>
        <w:rPr>
          <w:bCs w:val="0"/>
          <w:sz w:val="28"/>
          <w:szCs w:val="28"/>
        </w:rPr>
        <w:t>12 класс</w:t>
      </w:r>
      <w:r>
        <w:rPr>
          <w:b w:val="0"/>
          <w:bCs w:val="0"/>
          <w:sz w:val="28"/>
          <w:szCs w:val="28"/>
        </w:rPr>
        <w:t xml:space="preserve"> </w:t>
      </w:r>
    </w:p>
    <w:p>
      <w:pPr>
        <w:pStyle w:val="7"/>
        <w:spacing w:after="283"/>
        <w:jc w:val="left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Раздел 1. Капитал и инвестиции</w:t>
      </w:r>
    </w:p>
    <w:p>
      <w:pPr>
        <w:pStyle w:val="7"/>
        <w:spacing w:after="283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Виды капитала. Человеческий капитал. Финансовый капитал. Способы и сферы инвестирования. Участники финансовых отношений. Основы инвестирования: цели и психология. Финансовое инвестирование. Ценные бумаги и их виды. Дивиденды. Спекуляции. Основы финансового здоровья. Активы и пассивы. Инвестиции в человека. Способы и сферы государственного инвестирования. Государственная поддержка молодёжи.</w:t>
      </w:r>
    </w:p>
    <w:p>
      <w:pPr>
        <w:pStyle w:val="7"/>
        <w:spacing w:after="283"/>
        <w:jc w:val="left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Раздел 2. Деньги и их формы в цифровом обществе</w:t>
      </w:r>
    </w:p>
    <w:p>
      <w:pPr>
        <w:pStyle w:val="7"/>
        <w:spacing w:after="283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Человек и цифровая среда. Цифровое общество и финансы. Цифровой след. Цифровой профиль. Цифровые финансовые услуги. Роботизация и финансы. Особенности работы с финансовой информацией. Персональные данные. Торговые роботы. Онлайн-кошельки. Цифровая валюта. Риски цифровых технологий для потребителя.</w:t>
      </w:r>
    </w:p>
    <w:p>
      <w:pPr>
        <w:pStyle w:val="7"/>
        <w:spacing w:after="283"/>
        <w:jc w:val="left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Раздел 3. Способы защиты от финансового мошенничества</w:t>
      </w:r>
    </w:p>
    <w:p>
      <w:pPr>
        <w:pStyle w:val="7"/>
        <w:spacing w:after="283"/>
        <w:jc w:val="left"/>
        <w:rPr>
          <w:b w:val="0"/>
          <w:bCs w:val="0"/>
          <w:i/>
          <w:sz w:val="28"/>
          <w:szCs w:val="28"/>
        </w:rPr>
      </w:pPr>
      <w:r>
        <w:rPr>
          <w:b w:val="0"/>
          <w:bCs w:val="0"/>
          <w:sz w:val="28"/>
          <w:szCs w:val="28"/>
        </w:rPr>
        <w:t>Ответственность за нарушение прав потребителя финансовых услуг. Способы защиты прав потребителя финансовых услуг. Защита прав потребителя финансовых услуг. Телефонное мошенничество. Кибермошенничество. Финансовые пирамиды. Социальная инженерия. Кража персональных данных. Мошенничество с банковскими картами. Мошенничество с кредитами. Страховое мошенничество. Незаконный перевод пенсионных накоплений. Защита от мошенников. Защита при работе с цифровыми устройствами.</w:t>
      </w:r>
    </w:p>
    <w:p>
      <w:pPr>
        <w:pStyle w:val="7"/>
        <w:spacing w:after="283"/>
        <w:rPr>
          <w:b w:val="0"/>
          <w:bCs w:val="0"/>
          <w:sz w:val="28"/>
          <w:szCs w:val="28"/>
        </w:rPr>
      </w:pPr>
      <w:r>
        <w:rPr>
          <w:bCs w:val="0"/>
          <w:sz w:val="28"/>
          <w:szCs w:val="28"/>
        </w:rPr>
        <w:t>4. Календарно-тематическое планирование</w:t>
      </w:r>
    </w:p>
    <w:p>
      <w:pPr>
        <w:pStyle w:val="7"/>
        <w:spacing w:after="283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10 класс</w:t>
      </w:r>
    </w:p>
    <w:tbl>
      <w:tblPr>
        <w:tblStyle w:val="4"/>
        <w:tblW w:w="0" w:type="auto"/>
        <w:tblInd w:w="-257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388"/>
        <w:gridCol w:w="1800"/>
        <w:gridCol w:w="625"/>
        <w:gridCol w:w="5175"/>
        <w:gridCol w:w="1235"/>
      </w:tblGrid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7"/>
              <w:snapToGrid w:val="0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раздела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Экономическая активность личности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Финансовые потребности и их реализация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Финансовые потребности и их реализация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Экономическая активность и трудовая деятельность человека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Экономическая активность и трудовая деятельность человека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15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Налоги</w:t>
            </w:r>
          </w:p>
        </w:tc>
        <w:tc>
          <w:tcPr>
            <w:tcW w:w="123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 и самозанятость</w:t>
            </w:r>
          </w:p>
        </w:tc>
        <w:tc>
          <w:tcPr>
            <w:tcW w:w="123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auto" w:sz="4" w:space="0"/>
              <w:lef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 и самозанятость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Деньги в повседневной жизни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Повседневные затраты для обслуживание своих личных интересов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Повседневные затраты для обслуживание своих личных интересов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Финансовое обеспечение привычного уровня жизни</w:t>
            </w:r>
          </w:p>
        </w:tc>
        <w:tc>
          <w:tcPr>
            <w:tcW w:w="123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Финансовое обеспечение привычного уровня жизни</w:t>
            </w:r>
          </w:p>
        </w:tc>
        <w:tc>
          <w:tcPr>
            <w:tcW w:w="123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0" w:hRule="atLeast"/>
        </w:trPr>
        <w:tc>
          <w:tcPr>
            <w:tcW w:w="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привычного уровня жизни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привычного уровня жизни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52" w:hRule="atLeast"/>
        </w:trPr>
        <w:tc>
          <w:tcPr>
            <w:tcW w:w="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Зелёные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личные финансы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50" w:hRule="atLeast"/>
        </w:trPr>
        <w:tc>
          <w:tcPr>
            <w:tcW w:w="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Зелёные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личные финансы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80" w:hRule="atLeast"/>
        </w:trPr>
        <w:tc>
          <w:tcPr>
            <w:tcW w:w="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Зелёные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личные финансы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Финансовые инструменты и услуги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Финансовый рынок и его участники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2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Виды финансовых инструментов и услуг</w:t>
            </w:r>
          </w:p>
        </w:tc>
        <w:tc>
          <w:tcPr>
            <w:tcW w:w="123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финансовых инструментов и услуг</w:t>
            </w:r>
          </w:p>
        </w:tc>
        <w:tc>
          <w:tcPr>
            <w:tcW w:w="123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Потребитель финансовых услуг и его возможности</w:t>
            </w:r>
          </w:p>
        </w:tc>
        <w:tc>
          <w:tcPr>
            <w:tcW w:w="123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Финансовые организации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Финансовые организации</w:t>
            </w:r>
          </w:p>
        </w:tc>
        <w:tc>
          <w:tcPr>
            <w:tcW w:w="123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консультации для потребителя</w:t>
            </w:r>
          </w:p>
        </w:tc>
        <w:tc>
          <w:tcPr>
            <w:tcW w:w="123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Финансовые консультации для потребителя</w:t>
            </w:r>
          </w:p>
        </w:tc>
        <w:tc>
          <w:tcPr>
            <w:tcW w:w="123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auto" w:sz="4" w:space="0"/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Рациональный выбор финансовых услуг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Практикум, проектная деятельность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23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</w:t>
            </w:r>
          </w:p>
        </w:tc>
        <w:tc>
          <w:tcPr>
            <w:tcW w:w="123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23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08" w:hRule="atLeast"/>
        </w:trPr>
        <w:tc>
          <w:tcPr>
            <w:tcW w:w="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7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pStyle w:val="7"/>
        <w:spacing w:after="283"/>
        <w:rPr>
          <w:b w:val="0"/>
          <w:bCs w:val="0"/>
          <w:sz w:val="28"/>
          <w:szCs w:val="28"/>
        </w:rPr>
      </w:pPr>
    </w:p>
    <w:p>
      <w:pPr>
        <w:pStyle w:val="7"/>
        <w:spacing w:after="283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11 класс</w:t>
      </w:r>
    </w:p>
    <w:tbl>
      <w:tblPr>
        <w:tblStyle w:val="4"/>
        <w:tblW w:w="0" w:type="auto"/>
        <w:tblInd w:w="-27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00"/>
        <w:gridCol w:w="1800"/>
        <w:gridCol w:w="613"/>
        <w:gridCol w:w="5200"/>
        <w:gridCol w:w="1240"/>
      </w:tblGrid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7"/>
              <w:snapToGrid w:val="0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раздела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vMerge w:val="restart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Банковские услуги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Банки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Банки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15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Банковские операции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9"/>
              <w:spacing w:before="0" w:after="0"/>
              <w:rPr>
                <w:color w:val="000000"/>
              </w:rPr>
            </w:pPr>
            <w:r>
              <w:t>Банковские операции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9"/>
              <w:spacing w:before="0" w:after="0"/>
              <w:rPr>
                <w:color w:val="000000"/>
              </w:rPr>
            </w:pPr>
            <w:r>
              <w:t>Депозиты и вклады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9"/>
              <w:spacing w:before="0" w:after="0"/>
              <w:rPr>
                <w:color w:val="000000"/>
              </w:rPr>
            </w:pPr>
            <w:r>
              <w:t>Кредитование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карты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bottom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bottom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 валюты и банковские ячейки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bottom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bottom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Банки и цифровая среда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Небанковские организации и их услуги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9"/>
              <w:spacing w:before="0" w:after="0"/>
              <w:rPr>
                <w:color w:val="000000"/>
              </w:rPr>
            </w:pPr>
            <w:r>
              <w:t>Потребитель</w:t>
            </w:r>
            <w:r>
              <w:tab/>
            </w:r>
            <w:r>
              <w:t>и заемные средства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9"/>
              <w:spacing w:before="0" w:after="0"/>
              <w:rPr>
                <w:color w:val="000000"/>
              </w:rPr>
            </w:pPr>
            <w:r>
              <w:t>Потребитель</w:t>
            </w:r>
            <w:r>
              <w:tab/>
            </w:r>
            <w:r>
              <w:t>и заемные средства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9"/>
              <w:spacing w:before="0" w:after="0"/>
              <w:rPr>
                <w:color w:val="000000"/>
              </w:rPr>
            </w:pPr>
            <w:r>
              <w:t>Некредитные финансовые организации и их особенности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9"/>
              <w:spacing w:before="0" w:after="0"/>
            </w:pPr>
            <w:r>
              <w:t>Некредитные финансовые организации и их особенности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9"/>
              <w:spacing w:before="0" w:after="0"/>
            </w:pPr>
            <w:r>
              <w:t>Некредитные финансовые организации и их особенности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9"/>
              <w:spacing w:before="0" w:after="0"/>
            </w:pPr>
            <w:r>
              <w:t>Кредитная история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9"/>
              <w:spacing w:before="0" w:after="0"/>
            </w:pPr>
            <w:r>
              <w:t>Кредитная история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9"/>
              <w:spacing w:before="0" w:after="0"/>
              <w:rPr>
                <w:color w:val="000000"/>
              </w:rPr>
            </w:pPr>
            <w:r>
              <w:t>Организации</w:t>
            </w:r>
            <w:r>
              <w:tab/>
            </w:r>
            <w:r>
              <w:t>на рынке ценных бумаг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9"/>
              <w:spacing w:before="0" w:after="0"/>
              <w:rPr>
                <w:color w:val="000000"/>
              </w:rPr>
            </w:pPr>
            <w:r>
              <w:t>Организации</w:t>
            </w:r>
            <w:r>
              <w:tab/>
            </w:r>
            <w:r>
              <w:t>на рынке ценных бумаг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9"/>
              <w:spacing w:before="0" w:after="0"/>
              <w:rPr>
                <w:color w:val="000000"/>
              </w:rPr>
            </w:pPr>
            <w:r>
              <w:t>Защита от кредиторов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9"/>
              <w:spacing w:before="0" w:after="0"/>
              <w:rPr>
                <w:color w:val="000000"/>
              </w:rPr>
            </w:pPr>
            <w:r>
              <w:t>Защита от кредиторов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9"/>
              <w:spacing w:before="0" w:after="0"/>
            </w:pPr>
            <w:r>
              <w:t>Защита собственности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9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НКО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9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НКО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Страховые услуги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Страхование и его виды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Страхование и его виды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Риски и личное страхование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Риски и личное страхование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Риски и личное страхование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рынка страхования и потребители страховых услуг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00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рынка страхования и потребители страховых услуг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00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Страхование бизнеса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00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Страхование бизнеса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1800" w:type="dxa"/>
            <w:vMerge w:val="continue"/>
            <w:tcBorders>
              <w:left w:val="single" w:color="auto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pStyle w:val="7"/>
        <w:spacing w:after="283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12</w:t>
      </w:r>
      <w:bookmarkStart w:id="0" w:name="_GoBack"/>
      <w:bookmarkEnd w:id="0"/>
      <w:r>
        <w:rPr>
          <w:b w:val="0"/>
          <w:bCs w:val="0"/>
          <w:sz w:val="28"/>
          <w:szCs w:val="28"/>
        </w:rPr>
        <w:t xml:space="preserve"> класс</w:t>
      </w:r>
    </w:p>
    <w:tbl>
      <w:tblPr>
        <w:tblStyle w:val="4"/>
        <w:tblW w:w="0" w:type="auto"/>
        <w:tblInd w:w="-27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00"/>
        <w:gridCol w:w="1992"/>
        <w:gridCol w:w="708"/>
        <w:gridCol w:w="4913"/>
        <w:gridCol w:w="1240"/>
      </w:tblGrid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7"/>
              <w:snapToGrid w:val="0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раздела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92" w:type="dxa"/>
            <w:vMerge w:val="restart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Капитал и инвестиции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16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Роль капитала в современной экономике и финансовом</w:t>
            </w:r>
          </w:p>
          <w:p>
            <w:pPr>
              <w:pStyle w:val="16"/>
              <w:rPr>
                <w:color w:val="000000"/>
                <w:szCs w:val="24"/>
              </w:rPr>
            </w:pPr>
            <w:r>
              <w:t>благополучии человека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92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16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Роль капитала в современной экономике и финансовом</w:t>
            </w:r>
          </w:p>
          <w:p>
            <w:pPr>
              <w:pStyle w:val="16"/>
              <w:rPr>
                <w:color w:val="000000"/>
                <w:szCs w:val="24"/>
              </w:rPr>
            </w:pPr>
            <w:r>
              <w:t>благополучии человека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92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15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  <w:szCs w:val="22"/>
                <w:lang w:eastAsia="en-US"/>
              </w:rPr>
              <w:t>Финансовое инвестирование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92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9"/>
              <w:spacing w:before="0" w:after="0"/>
              <w:rPr>
                <w:color w:val="000000"/>
              </w:rPr>
            </w:pPr>
            <w:r>
              <w:t>Финансовое инвестирование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92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9"/>
              <w:spacing w:before="0" w:after="0"/>
              <w:rPr>
                <w:color w:val="000000"/>
              </w:rPr>
            </w:pPr>
            <w:r>
              <w:t>Финансовое инвестирование процессы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92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16"/>
            </w:pPr>
            <w:r>
              <w:t>Инвестиции государства в человека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92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Активы и пассивы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92" w:type="dxa"/>
            <w:vMerge w:val="restart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</w:rPr>
              <w:t>Деньги и их формы в цифровом обществе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Цифровые финансы в жизни</w:t>
            </w:r>
          </w:p>
          <w:p>
            <w:pPr>
              <w:pStyle w:val="16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человека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92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Цифровые финансы в жизни</w:t>
            </w:r>
          </w:p>
          <w:p>
            <w:pPr>
              <w:pStyle w:val="16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человека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92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Онлайн-сервисы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</w:p>
          <w:p>
            <w:pPr>
              <w:pStyle w:val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финансовых операций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92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Онлайн-сервисы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для</w:t>
            </w:r>
          </w:p>
          <w:p>
            <w:pPr>
              <w:pStyle w:val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финансовых операций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92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Онлайн-сервисы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для</w:t>
            </w:r>
          </w:p>
          <w:p>
            <w:pPr>
              <w:pStyle w:val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финансовых операций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92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16"/>
              <w:ind w:left="0"/>
            </w:pPr>
            <w:r>
              <w:t>Современные</w:t>
            </w:r>
            <w:r>
              <w:tab/>
            </w:r>
            <w:r>
              <w:t>цифровые</w:t>
            </w:r>
          </w:p>
          <w:p>
            <w:pPr>
              <w:pStyle w:val="9"/>
              <w:spacing w:before="0" w:after="0"/>
            </w:pPr>
            <w:r>
              <w:t>технологии и финансы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92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16"/>
              <w:ind w:left="0"/>
            </w:pPr>
            <w:r>
              <w:t>Современные</w:t>
            </w:r>
            <w:r>
              <w:tab/>
            </w:r>
            <w:r>
              <w:t>цифровые</w:t>
            </w:r>
          </w:p>
          <w:p>
            <w:pPr>
              <w:pStyle w:val="9"/>
              <w:spacing w:before="0" w:after="0"/>
            </w:pPr>
            <w:r>
              <w:t>технологии и финансы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92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16"/>
              <w:ind w:left="0"/>
            </w:pPr>
            <w:r>
              <w:t>Современные</w:t>
            </w:r>
            <w:r>
              <w:tab/>
            </w:r>
            <w:r>
              <w:t>цифровые</w:t>
            </w:r>
          </w:p>
          <w:p>
            <w:pPr>
              <w:pStyle w:val="9"/>
              <w:spacing w:before="0" w:after="0"/>
              <w:rPr>
                <w:color w:val="000000"/>
              </w:rPr>
            </w:pPr>
            <w:r>
              <w:t>технологии и финансы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92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9"/>
              <w:spacing w:before="0" w:after="0"/>
              <w:rPr>
                <w:color w:val="000000"/>
              </w:rPr>
            </w:pPr>
            <w:r>
              <w:t>Цифровая гигиена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92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pStyle w:val="9"/>
              <w:spacing w:before="0" w:after="0"/>
              <w:rPr>
                <w:color w:val="000000"/>
              </w:rPr>
            </w:pPr>
            <w:r>
              <w:t>Цифровая гигиена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92" w:type="dxa"/>
            <w:vMerge w:val="restart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Способы защиты от финансового мошенничества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Защита прав потребителя финансовых услуг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92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Защита прав потребителя финансовых услуг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92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Финансовое мошенничество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92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Финансовое мошенничество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92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Финансовое мошенничество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92" w:type="dxa"/>
            <w:vMerge w:val="continue"/>
            <w:tcBorders>
              <w:left w:val="single" w:color="000000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Защита от мошенников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9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Защита от мошенников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9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Поиск,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 xml:space="preserve"> анализ, сравнение и подтверждение информации.</w:t>
            </w:r>
          </w:p>
        </w:tc>
        <w:tc>
          <w:tcPr>
            <w:tcW w:w="1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9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Кража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персональных данных.</w:t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92" w:type="dxa"/>
            <w:vMerge w:val="continue"/>
            <w:tcBorders>
              <w:left w:val="single" w:color="auto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Виды ответственности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92" w:type="dxa"/>
            <w:tcBorders>
              <w:left w:val="single" w:color="auto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Итоги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курса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pStyle w:val="7"/>
        <w:spacing w:after="283"/>
        <w:rPr>
          <w:b w:val="0"/>
          <w:bCs w:val="0"/>
          <w:sz w:val="28"/>
          <w:szCs w:val="28"/>
        </w:rPr>
      </w:pPr>
    </w:p>
    <w:p>
      <w:pPr>
        <w:pStyle w:val="7"/>
        <w:spacing w:after="283"/>
        <w:jc w:val="left"/>
        <w:rPr>
          <w:b w:val="0"/>
          <w:bCs w:val="0"/>
          <w:i/>
          <w:sz w:val="28"/>
          <w:szCs w:val="28"/>
        </w:rPr>
      </w:pPr>
    </w:p>
    <w:p>
      <w:pPr>
        <w:pStyle w:val="7"/>
        <w:spacing w:after="283"/>
        <w:jc w:val="left"/>
        <w:rPr>
          <w:b w:val="0"/>
          <w:bCs w:val="0"/>
          <w:i/>
          <w:sz w:val="28"/>
          <w:szCs w:val="28"/>
        </w:rPr>
      </w:pPr>
    </w:p>
    <w:p>
      <w:pPr>
        <w:pStyle w:val="7"/>
        <w:spacing w:after="283"/>
        <w:jc w:val="left"/>
        <w:rPr>
          <w:b w:val="0"/>
          <w:bCs w:val="0"/>
          <w:i/>
          <w:sz w:val="28"/>
          <w:szCs w:val="28"/>
        </w:rPr>
      </w:pPr>
    </w:p>
    <w:p>
      <w:pPr>
        <w:pStyle w:val="7"/>
        <w:spacing w:after="283"/>
        <w:jc w:val="left"/>
        <w:rPr>
          <w:b w:val="0"/>
          <w:bCs w:val="0"/>
          <w:i/>
          <w:sz w:val="28"/>
          <w:szCs w:val="28"/>
        </w:rPr>
      </w:pPr>
    </w:p>
    <w:p>
      <w:pPr>
        <w:pStyle w:val="7"/>
        <w:spacing w:after="283"/>
        <w:jc w:val="left"/>
        <w:rPr>
          <w:b w:val="0"/>
          <w:bCs w:val="0"/>
          <w:i/>
          <w:sz w:val="28"/>
          <w:szCs w:val="28"/>
        </w:rPr>
      </w:pPr>
    </w:p>
    <w:p>
      <w:pPr>
        <w:pStyle w:val="7"/>
        <w:spacing w:after="283"/>
        <w:jc w:val="left"/>
        <w:rPr>
          <w:b w:val="0"/>
          <w:bCs w:val="0"/>
          <w:i/>
          <w:sz w:val="28"/>
          <w:szCs w:val="28"/>
        </w:rPr>
      </w:pPr>
    </w:p>
    <w:p>
      <w:pPr>
        <w:pStyle w:val="7"/>
        <w:spacing w:after="283"/>
        <w:jc w:val="left"/>
        <w:rPr>
          <w:b w:val="0"/>
          <w:bCs w:val="0"/>
          <w:i/>
          <w:sz w:val="28"/>
          <w:szCs w:val="28"/>
        </w:rPr>
      </w:pPr>
    </w:p>
    <w:p>
      <w:pPr>
        <w:pStyle w:val="7"/>
        <w:spacing w:after="283"/>
        <w:jc w:val="left"/>
        <w:rPr>
          <w:b w:val="0"/>
          <w:bCs w:val="0"/>
          <w:i/>
          <w:sz w:val="28"/>
          <w:szCs w:val="28"/>
        </w:rPr>
      </w:pPr>
    </w:p>
    <w:p>
      <w:pPr>
        <w:pStyle w:val="7"/>
        <w:spacing w:after="283"/>
        <w:jc w:val="left"/>
        <w:rPr>
          <w:b w:val="0"/>
          <w:bCs w:val="0"/>
          <w:i/>
          <w:sz w:val="28"/>
          <w:szCs w:val="28"/>
        </w:rPr>
      </w:pPr>
    </w:p>
    <w:p>
      <w:pPr>
        <w:pStyle w:val="7"/>
        <w:spacing w:after="283"/>
        <w:jc w:val="left"/>
        <w:rPr>
          <w:b w:val="0"/>
          <w:bCs w:val="0"/>
          <w:i/>
          <w:sz w:val="28"/>
          <w:szCs w:val="28"/>
        </w:rPr>
      </w:pPr>
    </w:p>
    <w:p>
      <w:pPr>
        <w:pStyle w:val="7"/>
        <w:spacing w:after="283"/>
        <w:jc w:val="left"/>
        <w:rPr>
          <w:b w:val="0"/>
          <w:bCs w:val="0"/>
          <w:i/>
          <w:sz w:val="28"/>
          <w:szCs w:val="28"/>
        </w:rPr>
      </w:pPr>
    </w:p>
    <w:p>
      <w:pPr>
        <w:pStyle w:val="7"/>
        <w:spacing w:after="283"/>
        <w:jc w:val="left"/>
        <w:rPr>
          <w:b w:val="0"/>
          <w:bCs w:val="0"/>
          <w:i/>
          <w:sz w:val="28"/>
          <w:szCs w:val="28"/>
        </w:rPr>
      </w:pPr>
    </w:p>
    <w:p>
      <w:pPr>
        <w:pStyle w:val="7"/>
        <w:spacing w:after="283"/>
        <w:jc w:val="left"/>
        <w:rPr>
          <w:b w:val="0"/>
          <w:bCs w:val="0"/>
          <w:i/>
          <w:sz w:val="28"/>
          <w:szCs w:val="28"/>
        </w:rPr>
      </w:pPr>
    </w:p>
    <w:p>
      <w:pPr>
        <w:pStyle w:val="7"/>
        <w:spacing w:after="283"/>
        <w:jc w:val="left"/>
        <w:rPr>
          <w:b w:val="0"/>
          <w:bCs w:val="0"/>
          <w:i/>
          <w:sz w:val="28"/>
          <w:szCs w:val="28"/>
        </w:rPr>
      </w:pPr>
    </w:p>
    <w:p>
      <w:pPr>
        <w:pStyle w:val="7"/>
        <w:spacing w:after="283"/>
        <w:jc w:val="left"/>
        <w:rPr>
          <w:b w:val="0"/>
          <w:bCs w:val="0"/>
          <w:i/>
          <w:sz w:val="28"/>
          <w:szCs w:val="28"/>
        </w:rPr>
      </w:pPr>
    </w:p>
    <w:p>
      <w:pPr>
        <w:pStyle w:val="7"/>
        <w:spacing w:after="283"/>
        <w:jc w:val="left"/>
        <w:rPr>
          <w:b w:val="0"/>
          <w:bCs w:val="0"/>
          <w:i/>
          <w:sz w:val="28"/>
          <w:szCs w:val="28"/>
        </w:rPr>
      </w:pPr>
    </w:p>
    <w:p>
      <w:pPr>
        <w:pStyle w:val="7"/>
        <w:spacing w:after="283"/>
        <w:jc w:val="left"/>
        <w:rPr>
          <w:b w:val="0"/>
          <w:bCs w:val="0"/>
          <w:i/>
          <w:sz w:val="28"/>
          <w:szCs w:val="28"/>
        </w:rPr>
      </w:pPr>
    </w:p>
    <w:p>
      <w:pPr>
        <w:pStyle w:val="7"/>
        <w:spacing w:after="283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                                               Приложение 1</w:t>
      </w:r>
    </w:p>
    <w:p>
      <w:pPr>
        <w:pStyle w:val="7"/>
        <w:spacing w:after="283"/>
        <w:rPr>
          <w:b w:val="0"/>
          <w:bCs w:val="0"/>
          <w:sz w:val="28"/>
          <w:szCs w:val="28"/>
        </w:rPr>
      </w:pPr>
    </w:p>
    <w:p>
      <w:pPr>
        <w:pStyle w:val="7"/>
        <w:spacing w:after="283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Список используемой литературы</w:t>
      </w:r>
    </w:p>
    <w:p>
      <w:pPr>
        <w:pStyle w:val="7"/>
        <w:spacing w:after="283"/>
        <w:jc w:val="left"/>
        <w:rPr>
          <w:bCs w:val="0"/>
          <w:sz w:val="28"/>
          <w:szCs w:val="28"/>
        </w:rPr>
      </w:pPr>
    </w:p>
    <w:p>
      <w:pPr>
        <w:pStyle w:val="16"/>
        <w:rPr>
          <w:rFonts w:eastAsiaTheme="minorHAnsi"/>
          <w:sz w:val="28"/>
          <w:szCs w:val="28"/>
        </w:rPr>
      </w:pPr>
      <w:r>
        <w:rPr>
          <w:rFonts w:eastAsiaTheme="minorHAnsi"/>
          <w:b/>
          <w:bCs/>
          <w:sz w:val="28"/>
          <w:szCs w:val="28"/>
        </w:rPr>
        <w:t xml:space="preserve">1. </w:t>
      </w:r>
      <w:r>
        <w:rPr>
          <w:rFonts w:eastAsiaTheme="minorHAnsi"/>
          <w:sz w:val="28"/>
          <w:szCs w:val="28"/>
        </w:rPr>
        <w:t xml:space="preserve">В.В.Чумаченко, А.П.Горяев «Основы финансовой грамотности», М. «Просвещение», 2016; </w:t>
      </w:r>
    </w:p>
    <w:p>
      <w:pPr>
        <w:pStyle w:val="16"/>
        <w:rPr>
          <w:rFonts w:eastAsiaTheme="minorHAnsi"/>
          <w:sz w:val="28"/>
          <w:szCs w:val="28"/>
        </w:rPr>
      </w:pPr>
      <w:r>
        <w:rPr>
          <w:rFonts w:eastAsiaTheme="minorHAnsi"/>
          <w:b/>
          <w:bCs/>
          <w:sz w:val="28"/>
          <w:szCs w:val="28"/>
        </w:rPr>
        <w:t xml:space="preserve">2. </w:t>
      </w:r>
      <w:r>
        <w:rPr>
          <w:rFonts w:eastAsiaTheme="minorHAnsi"/>
          <w:sz w:val="28"/>
          <w:szCs w:val="28"/>
        </w:rPr>
        <w:t xml:space="preserve">А.П.Горяев, В.В.Чумаченко «Финансовая грамота для школьников», Российская экономическая школа, 2010; </w:t>
      </w:r>
    </w:p>
    <w:p>
      <w:pPr>
        <w:pStyle w:val="16"/>
        <w:rPr>
          <w:rFonts w:eastAsiaTheme="minorHAnsi"/>
          <w:sz w:val="28"/>
          <w:szCs w:val="28"/>
        </w:rPr>
      </w:pPr>
      <w:r>
        <w:rPr>
          <w:rFonts w:eastAsiaTheme="minorHAnsi"/>
          <w:b/>
          <w:bCs/>
          <w:sz w:val="28"/>
          <w:szCs w:val="28"/>
        </w:rPr>
        <w:t xml:space="preserve">3. </w:t>
      </w:r>
      <w:r>
        <w:rPr>
          <w:rFonts w:eastAsiaTheme="minorHAnsi"/>
          <w:sz w:val="28"/>
          <w:szCs w:val="28"/>
        </w:rPr>
        <w:t>А.В.Паранич «Путеводитель по финансовому рынку», М. И-трейд, 2010;</w:t>
      </w:r>
    </w:p>
    <w:p>
      <w:pPr>
        <w:pStyle w:val="16"/>
        <w:rPr>
          <w:rFonts w:eastAsiaTheme="minorHAnsi"/>
          <w:sz w:val="28"/>
          <w:szCs w:val="28"/>
        </w:rPr>
      </w:pPr>
      <w:r>
        <w:rPr>
          <w:rFonts w:eastAsiaTheme="minorHAnsi"/>
          <w:b/>
          <w:bCs/>
          <w:sz w:val="28"/>
          <w:szCs w:val="28"/>
        </w:rPr>
        <w:t xml:space="preserve">4. </w:t>
      </w:r>
      <w:r>
        <w:rPr>
          <w:rFonts w:eastAsiaTheme="minorHAnsi"/>
          <w:sz w:val="28"/>
          <w:szCs w:val="28"/>
        </w:rPr>
        <w:t xml:space="preserve"> Н.Н. Думная, О.В. Карамова, О.А. Рябова «Как вести семейный бюджет: учебное пособие», М. Интеллект-центр, 2010; </w:t>
      </w:r>
    </w:p>
    <w:p>
      <w:pPr>
        <w:pStyle w:val="16"/>
        <w:rPr>
          <w:rFonts w:eastAsiaTheme="minorHAnsi"/>
          <w:sz w:val="28"/>
          <w:szCs w:val="28"/>
        </w:rPr>
      </w:pPr>
      <w:r>
        <w:rPr>
          <w:rFonts w:eastAsiaTheme="minorHAnsi"/>
          <w:b/>
          <w:bCs/>
          <w:sz w:val="28"/>
          <w:szCs w:val="28"/>
        </w:rPr>
        <w:t xml:space="preserve">5. </w:t>
      </w:r>
      <w:r>
        <w:rPr>
          <w:rFonts w:eastAsiaTheme="minorHAnsi"/>
          <w:sz w:val="28"/>
          <w:szCs w:val="28"/>
        </w:rPr>
        <w:t xml:space="preserve"> Н.Н.Думная, М.Б. Медведева, О.А.Рябова «Выбирая свой банк: учебное пособие», М. Интеллект-центр, 2010; </w:t>
      </w:r>
    </w:p>
    <w:p>
      <w:pPr>
        <w:pStyle w:val="16"/>
        <w:rPr>
          <w:rFonts w:eastAsiaTheme="minorHAnsi"/>
          <w:sz w:val="28"/>
          <w:szCs w:val="28"/>
        </w:rPr>
      </w:pPr>
      <w:r>
        <w:rPr>
          <w:rFonts w:eastAsiaTheme="minorHAnsi"/>
          <w:b/>
          <w:bCs/>
          <w:sz w:val="28"/>
          <w:szCs w:val="28"/>
        </w:rPr>
        <w:t xml:space="preserve">6. </w:t>
      </w:r>
      <w:r>
        <w:rPr>
          <w:rFonts w:eastAsiaTheme="minorHAnsi"/>
          <w:sz w:val="28"/>
          <w:szCs w:val="28"/>
        </w:rPr>
        <w:t xml:space="preserve">Н.Н.Думная, С.И. Рыбаков, А.Ю.Лайков «Зачем нам нужны страховые компании и страховые услуги?», М. Интеллект-центр, 2010; </w:t>
      </w:r>
    </w:p>
    <w:p>
      <w:pPr>
        <w:pStyle w:val="16"/>
        <w:rPr>
          <w:rFonts w:eastAsiaTheme="minorHAnsi"/>
          <w:sz w:val="28"/>
          <w:szCs w:val="28"/>
        </w:rPr>
      </w:pPr>
      <w:r>
        <w:rPr>
          <w:rFonts w:eastAsiaTheme="minorHAnsi"/>
          <w:b/>
          <w:bCs/>
          <w:sz w:val="28"/>
          <w:szCs w:val="28"/>
        </w:rPr>
        <w:t xml:space="preserve">7. </w:t>
      </w:r>
      <w:r>
        <w:rPr>
          <w:rFonts w:eastAsiaTheme="minorHAnsi"/>
          <w:sz w:val="28"/>
          <w:szCs w:val="28"/>
        </w:rPr>
        <w:t xml:space="preserve">Н.Н. Думная, Б.А. Ланин, Н.П. Мельникова, «Заплати налоги и спи спокойно», М. Интеллект-центр, 2011; </w:t>
      </w:r>
    </w:p>
    <w:p>
      <w:pPr>
        <w:pStyle w:val="16"/>
        <w:rPr>
          <w:rFonts w:eastAsiaTheme="minorHAnsi"/>
          <w:sz w:val="28"/>
          <w:szCs w:val="28"/>
        </w:rPr>
      </w:pPr>
      <w:r>
        <w:rPr>
          <w:rFonts w:eastAsiaTheme="minorHAnsi"/>
          <w:b/>
          <w:bCs/>
          <w:sz w:val="28"/>
          <w:szCs w:val="28"/>
        </w:rPr>
        <w:t xml:space="preserve">8. </w:t>
      </w:r>
      <w:r>
        <w:rPr>
          <w:rFonts w:eastAsiaTheme="minorHAnsi"/>
          <w:sz w:val="28"/>
          <w:szCs w:val="28"/>
        </w:rPr>
        <w:t xml:space="preserve">Н.Н.Думная, О.А.Абелев, И.П. Николаева «Я — инвестор», М. Интеллект-центр, 2011; </w:t>
      </w:r>
    </w:p>
    <w:p>
      <w:pPr>
        <w:pStyle w:val="16"/>
        <w:rPr>
          <w:bCs/>
          <w:sz w:val="28"/>
          <w:szCs w:val="28"/>
        </w:rPr>
      </w:pPr>
      <w:r>
        <w:rPr>
          <w:rFonts w:eastAsiaTheme="minorHAnsi"/>
          <w:b/>
          <w:bCs/>
          <w:sz w:val="28"/>
          <w:szCs w:val="28"/>
        </w:rPr>
        <w:t xml:space="preserve">9. </w:t>
      </w:r>
      <w:r>
        <w:rPr>
          <w:rFonts w:eastAsiaTheme="minorHAnsi"/>
          <w:sz w:val="28"/>
          <w:szCs w:val="28"/>
        </w:rPr>
        <w:t>Н.И.Берзон «Основы финансовой экономики», М. Вита-пресс, 2011.</w:t>
      </w:r>
    </w:p>
    <w:p>
      <w:pPr>
        <w:pStyle w:val="16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 Сайт центра «Федеральный методически</w:t>
      </w:r>
      <w:r>
        <w:rPr>
          <w:rFonts w:eastAsiaTheme="minorHAnsi"/>
          <w:sz w:val="28"/>
          <w:szCs w:val="28"/>
        </w:rPr>
        <w:tab/>
      </w:r>
      <w:r>
        <w:rPr>
          <w:rFonts w:eastAsiaTheme="minorHAnsi"/>
          <w:sz w:val="28"/>
          <w:szCs w:val="28"/>
        </w:rPr>
        <w:t xml:space="preserve"> центр по финансовой грамотности системы общего и среднего профессионального образования» - http://fmc.hse.ru;</w:t>
      </w:r>
    </w:p>
    <w:p>
      <w:pPr>
        <w:pStyle w:val="16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11. Сайт журнала «Семейный бюджет» — http://www.7budget.ru;</w:t>
      </w:r>
    </w:p>
    <w:p>
      <w:pPr>
        <w:pStyle w:val="16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12. Сайт по основам финансовой грамотности «Достаток.ру» —</w:t>
      </w:r>
    </w:p>
    <w:p>
      <w:pPr>
        <w:pStyle w:val="16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http://www.dostatok.ru;</w:t>
      </w:r>
    </w:p>
    <w:p>
      <w:pPr>
        <w:pStyle w:val="16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13. Журнал «Работа и зарплата» - https://zarplata-i-rabota.ru/;</w:t>
      </w:r>
    </w:p>
    <w:p>
      <w:pPr>
        <w:pStyle w:val="16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14. Портал «Профориентир». «Мир профессий» - http://www.cls-kuntsevo.ru/portal_proforientir/mir_professii_news_prof.php;</w:t>
      </w:r>
    </w:p>
    <w:p>
      <w:pPr>
        <w:pStyle w:val="16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15. Сайт «Все о страховании» — http://www.o-strahovanie.ru/vidi-strahovaniay.php</w:t>
      </w:r>
    </w:p>
    <w:p>
      <w:pPr>
        <w:pStyle w:val="7"/>
        <w:spacing w:after="283"/>
        <w:jc w:val="left"/>
        <w:rPr>
          <w:b w:val="0"/>
          <w:bCs w:val="0"/>
          <w:i/>
          <w:sz w:val="28"/>
          <w:szCs w:val="28"/>
        </w:rPr>
      </w:pPr>
    </w:p>
    <w:p>
      <w:pPr>
        <w:pStyle w:val="7"/>
        <w:spacing w:after="283"/>
        <w:jc w:val="left"/>
        <w:rPr>
          <w:b w:val="0"/>
          <w:bCs w:val="0"/>
          <w:i/>
          <w:sz w:val="28"/>
          <w:szCs w:val="28"/>
        </w:rPr>
      </w:pPr>
    </w:p>
    <w:p>
      <w:pPr>
        <w:pStyle w:val="7"/>
        <w:spacing w:after="283"/>
        <w:jc w:val="left"/>
        <w:rPr>
          <w:b w:val="0"/>
          <w:bCs w:val="0"/>
          <w:sz w:val="28"/>
          <w:szCs w:val="28"/>
        </w:rPr>
      </w:pPr>
    </w:p>
    <w:p>
      <w:pPr>
        <w:pStyle w:val="7"/>
        <w:spacing w:after="283"/>
        <w:jc w:val="left"/>
        <w:rPr>
          <w:b w:val="0"/>
          <w:bCs w:val="0"/>
          <w:sz w:val="28"/>
          <w:szCs w:val="28"/>
        </w:rPr>
      </w:pPr>
    </w:p>
    <w:p>
      <w:pPr>
        <w:pStyle w:val="7"/>
        <w:spacing w:after="283"/>
        <w:jc w:val="left"/>
        <w:rPr>
          <w:b w:val="0"/>
          <w:bCs w:val="0"/>
          <w:sz w:val="28"/>
          <w:szCs w:val="28"/>
        </w:rPr>
      </w:pPr>
    </w:p>
    <w:p>
      <w:pPr>
        <w:pStyle w:val="7"/>
        <w:spacing w:after="283"/>
        <w:jc w:val="left"/>
        <w:rPr>
          <w:b w:val="0"/>
          <w:bCs w:val="0"/>
          <w:sz w:val="28"/>
          <w:szCs w:val="28"/>
        </w:rPr>
      </w:pPr>
    </w:p>
    <w:p>
      <w:pPr>
        <w:pStyle w:val="7"/>
        <w:spacing w:after="283"/>
        <w:jc w:val="left"/>
        <w:rPr>
          <w:b w:val="0"/>
          <w:bCs w:val="0"/>
          <w:sz w:val="28"/>
          <w:szCs w:val="28"/>
        </w:rPr>
      </w:pPr>
    </w:p>
    <w:sectPr>
      <w:footerReference r:id="rId5" w:type="default"/>
      <w:pgSz w:w="11906" w:h="16838"/>
      <w:pgMar w:top="1134" w:right="850" w:bottom="1134" w:left="1701" w:header="708" w:footer="708" w:gutter="0"/>
      <w:pgNumType w:start="2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80964029"/>
      <w:docPartObj>
        <w:docPartGallery w:val="AutoText"/>
      </w:docPartObj>
    </w:sdtPr>
    <w:sdtContent>
      <w:p>
        <w:pPr>
          <w:pStyle w:val="8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14</w:t>
        </w:r>
        <w:r>
          <w:fldChar w:fldCharType="end"/>
        </w:r>
      </w:p>
    </w:sdtContent>
  </w:sdt>
  <w:p>
    <w:pPr>
      <w:pStyle w:val="8"/>
    </w:pPr>
  </w:p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7253724"/>
    <w:multiLevelType w:val="multilevel"/>
    <w:tmpl w:val="07253724"/>
    <w:lvl w:ilvl="0" w:tentative="0">
      <w:start w:val="1"/>
      <w:numFmt w:val="decimal"/>
      <w:pStyle w:val="2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pStyle w:val="13"/>
      <w:lvlText w:val="%9."/>
      <w:lvlJc w:val="right"/>
      <w:pPr>
        <w:ind w:left="6480" w:hanging="180"/>
      </w:pPr>
    </w:lvl>
  </w:abstractNum>
  <w:abstractNum w:abstractNumId="2">
    <w:nsid w:val="34FE4387"/>
    <w:multiLevelType w:val="multilevel"/>
    <w:tmpl w:val="34FE438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4F3"/>
    <w:rsid w:val="0013257B"/>
    <w:rsid w:val="001C3C9C"/>
    <w:rsid w:val="00207D8A"/>
    <w:rsid w:val="00314488"/>
    <w:rsid w:val="00384617"/>
    <w:rsid w:val="003D1E86"/>
    <w:rsid w:val="00444F1A"/>
    <w:rsid w:val="00511EED"/>
    <w:rsid w:val="005179F9"/>
    <w:rsid w:val="00580549"/>
    <w:rsid w:val="0065271D"/>
    <w:rsid w:val="0082313B"/>
    <w:rsid w:val="008E3E06"/>
    <w:rsid w:val="009B5115"/>
    <w:rsid w:val="00B63ABF"/>
    <w:rsid w:val="00C34E16"/>
    <w:rsid w:val="00C744F3"/>
    <w:rsid w:val="00CC1D72"/>
    <w:rsid w:val="00DC0B1E"/>
    <w:rsid w:val="00E02224"/>
    <w:rsid w:val="00E40BF9"/>
    <w:rsid w:val="00E6768A"/>
    <w:rsid w:val="00E85302"/>
    <w:rsid w:val="00EA45BA"/>
    <w:rsid w:val="00EA4C77"/>
    <w:rsid w:val="00F9068F"/>
    <w:rsid w:val="00FE1C69"/>
    <w:rsid w:val="38CD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numPr>
        <w:ilvl w:val="0"/>
        <w:numId w:val="1"/>
      </w:numPr>
      <w:suppressAutoHyphens/>
      <w:spacing w:before="240" w:after="60" w:line="240" w:lineRule="auto"/>
      <w:outlineLvl w:val="0"/>
    </w:pPr>
    <w:rPr>
      <w:rFonts w:ascii="Cambria" w:hAnsi="Cambria" w:eastAsia="Times New Roman" w:cs="Times New Roman"/>
      <w:b/>
      <w:bCs/>
      <w:kern w:val="1"/>
      <w:sz w:val="32"/>
      <w:szCs w:val="32"/>
      <w:lang w:eastAsia="zh-CN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0"/>
    <w:rPr>
      <w:color w:val="000080"/>
      <w:u w:val="single"/>
    </w:rPr>
  </w:style>
  <w:style w:type="paragraph" w:styleId="6">
    <w:name w:val="header"/>
    <w:basedOn w:val="1"/>
    <w:link w:val="17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Body Text"/>
    <w:basedOn w:val="1"/>
    <w:link w:val="11"/>
    <w:uiPriority w:val="0"/>
    <w:pPr>
      <w:shd w:val="clear" w:color="auto" w:fill="FFFFFF"/>
      <w:suppressAutoHyphens/>
      <w:spacing w:after="0" w:line="240" w:lineRule="auto"/>
      <w:jc w:val="center"/>
    </w:pPr>
    <w:rPr>
      <w:rFonts w:ascii="Times New Roman" w:hAnsi="Times New Roman" w:eastAsia="Times New Roman" w:cs="Times New Roman"/>
      <w:b/>
      <w:bCs/>
      <w:color w:val="000000"/>
      <w:sz w:val="24"/>
      <w:szCs w:val="16"/>
      <w:lang w:eastAsia="zh-CN"/>
    </w:rPr>
  </w:style>
  <w:style w:type="paragraph" w:styleId="8">
    <w:name w:val="footer"/>
    <w:basedOn w:val="1"/>
    <w:link w:val="1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Normal (Web)"/>
    <w:basedOn w:val="1"/>
    <w:uiPriority w:val="0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Основной текст Знак"/>
    <w:basedOn w:val="3"/>
    <w:link w:val="7"/>
    <w:uiPriority w:val="0"/>
    <w:rPr>
      <w:rFonts w:ascii="Times New Roman" w:hAnsi="Times New Roman" w:eastAsia="Times New Roman" w:cs="Times New Roman"/>
      <w:b/>
      <w:bCs/>
      <w:color w:val="000000"/>
      <w:sz w:val="24"/>
      <w:szCs w:val="16"/>
      <w:shd w:val="clear" w:color="auto" w:fill="FFFFFF"/>
      <w:lang w:eastAsia="zh-CN"/>
    </w:rPr>
  </w:style>
  <w:style w:type="character" w:customStyle="1" w:styleId="12">
    <w:name w:val="WW8Num3z1"/>
    <w:qFormat/>
    <w:uiPriority w:val="0"/>
    <w:rPr>
      <w:rFonts w:ascii="Courier New" w:hAnsi="Courier New" w:cs="Courier New"/>
    </w:rPr>
  </w:style>
  <w:style w:type="paragraph" w:customStyle="1" w:styleId="13">
    <w:name w:val="Заголовок 10"/>
    <w:basedOn w:val="1"/>
    <w:next w:val="7"/>
    <w:uiPriority w:val="0"/>
    <w:pPr>
      <w:keepNext/>
      <w:numPr>
        <w:ilvl w:val="8"/>
        <w:numId w:val="1"/>
      </w:numPr>
      <w:suppressAutoHyphens/>
      <w:spacing w:before="57" w:after="57" w:line="240" w:lineRule="auto"/>
      <w:ind w:left="431" w:right="737" w:firstLine="0"/>
      <w:outlineLvl w:val="8"/>
    </w:pPr>
    <w:rPr>
      <w:rFonts w:ascii="Times New Roman" w:hAnsi="Times New Roman" w:eastAsia="Arial Unicode MS" w:cs="Times New Roman"/>
      <w:bCs/>
      <w:i/>
      <w:sz w:val="28"/>
      <w:szCs w:val="21"/>
      <w:lang w:eastAsia="zh-CN"/>
    </w:rPr>
  </w:style>
  <w:style w:type="character" w:customStyle="1" w:styleId="14">
    <w:name w:val="Заголовок 1 Знак"/>
    <w:basedOn w:val="3"/>
    <w:link w:val="2"/>
    <w:uiPriority w:val="0"/>
    <w:rPr>
      <w:rFonts w:ascii="Cambria" w:hAnsi="Cambria" w:eastAsia="Times New Roman" w:cs="Times New Roman"/>
      <w:b/>
      <w:bCs/>
      <w:kern w:val="1"/>
      <w:sz w:val="32"/>
      <w:szCs w:val="32"/>
      <w:lang w:eastAsia="zh-CN"/>
    </w:rPr>
  </w:style>
  <w:style w:type="paragraph" w:customStyle="1" w:styleId="15">
    <w:name w:val="western"/>
    <w:basedOn w:val="1"/>
    <w:qFormat/>
    <w:uiPriority w:val="0"/>
    <w:pPr>
      <w:spacing w:before="280" w:after="119" w:line="240" w:lineRule="auto"/>
    </w:pPr>
    <w:rPr>
      <w:rFonts w:ascii="Arial" w:hAnsi="Arial" w:eastAsia="Times New Roman" w:cs="Arial"/>
      <w:color w:val="000000"/>
      <w:sz w:val="24"/>
      <w:szCs w:val="24"/>
      <w:lang w:eastAsia="zh-CN"/>
    </w:rPr>
  </w:style>
  <w:style w:type="paragraph" w:customStyle="1" w:styleId="16">
    <w:name w:val="Table Paragraph"/>
    <w:basedOn w:val="1"/>
    <w:qFormat/>
    <w:uiPriority w:val="1"/>
    <w:pPr>
      <w:widowControl w:val="0"/>
      <w:autoSpaceDE w:val="0"/>
      <w:autoSpaceDN w:val="0"/>
      <w:spacing w:after="0" w:line="268" w:lineRule="exact"/>
      <w:ind w:left="109"/>
    </w:pPr>
    <w:rPr>
      <w:rFonts w:ascii="Times New Roman" w:hAnsi="Times New Roman" w:eastAsia="Times New Roman" w:cs="Times New Roman"/>
    </w:rPr>
  </w:style>
  <w:style w:type="character" w:customStyle="1" w:styleId="17">
    <w:name w:val="Верхний колонтитул Знак"/>
    <w:basedOn w:val="3"/>
    <w:link w:val="6"/>
    <w:uiPriority w:val="99"/>
  </w:style>
  <w:style w:type="character" w:customStyle="1" w:styleId="18">
    <w:name w:val="Нижний колонтитул Знак"/>
    <w:basedOn w:val="3"/>
    <w:link w:val="8"/>
    <w:uiPriority w:val="99"/>
  </w:style>
  <w:style w:type="paragraph" w:styleId="19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2381</Words>
  <Characters>13578</Characters>
  <Lines>113</Lines>
  <Paragraphs>31</Paragraphs>
  <TotalTime>202</TotalTime>
  <ScaleCrop>false</ScaleCrop>
  <LinksUpToDate>false</LinksUpToDate>
  <CharactersWithSpaces>15928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2023-10-06T13:51:00Z</dcterms:created>
  <dc:creator>Пользователь</dc:creator>
  <cp:lastModifiedBy>User</cp:lastModifiedBy>
  <cp:lastPrinted>2023-10-10T07:46:58Z</cp:lastPrinted>
  <dcterms:modified xsi:type="dcterms:W3CDTF">2023-10-10T07:47:13Z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C569A94C959F493A8CAB6A6EEA5D145D_12</vt:lpwstr>
  </property>
</Properties>
</file>